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D5" w:rsidRPr="00257201" w:rsidRDefault="007D42D5" w:rsidP="007D42D5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cs="Times New Roman"/>
          <w:color w:val="000000"/>
          <w:sz w:val="26"/>
          <w:szCs w:val="26"/>
        </w:rPr>
      </w:pPr>
      <w:r w:rsidRPr="00257201">
        <w:rPr>
          <w:rFonts w:cs="Times New Roman"/>
          <w:b/>
          <w:bCs/>
          <w:color w:val="000000"/>
          <w:sz w:val="26"/>
          <w:szCs w:val="26"/>
          <w:u w:val="single"/>
        </w:rPr>
        <w:t xml:space="preserve">GLOSSARIO </w:t>
      </w:r>
    </w:p>
    <w:p w:rsidR="007D42D5" w:rsidRDefault="007D42D5" w:rsidP="007D42D5">
      <w:pPr>
        <w:pStyle w:val="Paragrafoelenco"/>
        <w:autoSpaceDE w:val="0"/>
        <w:autoSpaceDN w:val="0"/>
        <w:adjustRightInd w:val="0"/>
        <w:spacing w:after="0"/>
        <w:ind w:left="426"/>
        <w:jc w:val="both"/>
        <w:rPr>
          <w:rFonts w:cs="Times New Roman"/>
          <w:color w:val="000000"/>
          <w:sz w:val="24"/>
          <w:szCs w:val="24"/>
        </w:rPr>
      </w:pPr>
      <w:r w:rsidRPr="00733028">
        <w:rPr>
          <w:rFonts w:cs="Times New Roman"/>
          <w:b/>
          <w:bCs/>
          <w:color w:val="000000"/>
          <w:sz w:val="24"/>
          <w:szCs w:val="24"/>
        </w:rPr>
        <w:t xml:space="preserve">DEFINIZIONI ai sensi del Regolamento (CE) N.1907/2006 del Parlamento Europeo e del consiglio del 18 dicembre 2006 e </w:t>
      </w:r>
      <w:proofErr w:type="spellStart"/>
      <w:r w:rsidRPr="00733028">
        <w:rPr>
          <w:rFonts w:cs="Times New Roman"/>
          <w:b/>
          <w:bCs/>
          <w:color w:val="000000"/>
          <w:sz w:val="24"/>
          <w:szCs w:val="24"/>
        </w:rPr>
        <w:t>s.m.i.</w:t>
      </w:r>
      <w:proofErr w:type="spellEnd"/>
    </w:p>
    <w:p w:rsidR="007D42D5" w:rsidRPr="00733028" w:rsidRDefault="007D42D5" w:rsidP="007D42D5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 w:rsidRPr="00733028">
        <w:rPr>
          <w:rFonts w:cs="Times New Roman"/>
          <w:b/>
          <w:bCs/>
          <w:color w:val="000000"/>
          <w:sz w:val="24"/>
          <w:szCs w:val="24"/>
        </w:rPr>
        <w:t xml:space="preserve">CAPO 2 - Art.3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733028">
        <w:rPr>
          <w:rFonts w:cs="Times New Roman"/>
          <w:b/>
          <w:bCs/>
          <w:color w:val="000000"/>
          <w:sz w:val="24"/>
          <w:szCs w:val="24"/>
        </w:rPr>
        <w:t xml:space="preserve">sostanza: </w:t>
      </w:r>
      <w:r w:rsidRPr="00733028">
        <w:rPr>
          <w:rFonts w:cs="Times New Roman"/>
          <w:color w:val="000000"/>
          <w:sz w:val="24"/>
          <w:szCs w:val="24"/>
        </w:rPr>
        <w:t>un elemento chimico e i suoi composti, allo stato naturale o ottenuti per mezzo di un procedimento di fabbricazione, compresi gli additivi necessari a mantenerne la stabilità e le impurità derivanti dal procedimento utilizzato, ma esclusi i solventi che possono essere separati senza compromettere la stabilità della sostanza</w:t>
      </w:r>
      <w:r>
        <w:rPr>
          <w:rFonts w:cs="Times New Roman"/>
          <w:color w:val="000000"/>
          <w:sz w:val="24"/>
          <w:szCs w:val="24"/>
        </w:rPr>
        <w:t xml:space="preserve"> o modificarne la composizione;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miscela: </w:t>
      </w:r>
      <w:r w:rsidRPr="00C84F3C">
        <w:rPr>
          <w:rFonts w:cs="Times New Roman"/>
          <w:color w:val="000000"/>
          <w:sz w:val="24"/>
          <w:szCs w:val="24"/>
        </w:rPr>
        <w:t xml:space="preserve">una miscela o una soluzione composta di due o più sostanze;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articolo: </w:t>
      </w:r>
      <w:r w:rsidRPr="00C84F3C">
        <w:rPr>
          <w:rFonts w:cs="Times New Roman"/>
          <w:color w:val="000000"/>
          <w:sz w:val="24"/>
          <w:szCs w:val="24"/>
        </w:rPr>
        <w:t>un oggetto a cui sono dati durante la produzione una forma, una superficie o un disegno particolari che ne determinano la funzione in misura maggiore della sua composizione chimica;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produttore di un articolo: </w:t>
      </w:r>
      <w:r w:rsidRPr="00C84F3C">
        <w:rPr>
          <w:rFonts w:cs="Times New Roman"/>
          <w:color w:val="000000"/>
          <w:sz w:val="24"/>
          <w:szCs w:val="24"/>
        </w:rPr>
        <w:t>ogni persona fisica o giuridica che fabbrica o assembla un articolo all'interno della Comunità;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polimero: </w:t>
      </w:r>
      <w:r w:rsidRPr="00C84F3C">
        <w:rPr>
          <w:rFonts w:cs="Times New Roman"/>
          <w:color w:val="000000"/>
          <w:sz w:val="24"/>
          <w:szCs w:val="24"/>
        </w:rPr>
        <w:t>una sostanza le cui molecole sono caratterizzate dalla sequenza di uno o più tipi di unità monomeriche. Tali molecole devono essere distribuite su una gamma di pesi molecolari in cui le differenze di peso molecolare siano principalmente attribuibili a differenze nel numero di unità monomeriche. Un polimero comprende:</w:t>
      </w:r>
    </w:p>
    <w:p w:rsidR="007D42D5" w:rsidRDefault="007D42D5" w:rsidP="007D42D5">
      <w:pPr>
        <w:pStyle w:val="Paragrafoelenco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3F0250">
        <w:rPr>
          <w:rFonts w:cs="Times New Roman"/>
          <w:color w:val="000000"/>
          <w:sz w:val="24"/>
          <w:szCs w:val="24"/>
        </w:rPr>
        <w:t>una maggioranza ponderale semplice di molecole contenenti almeno tre unità monometriche aventi un legame covalente con almeno un'altra unità monomerica o altro reagente;</w:t>
      </w:r>
    </w:p>
    <w:p w:rsidR="007D42D5" w:rsidRPr="003F0250" w:rsidRDefault="007D42D5" w:rsidP="007D42D5">
      <w:pPr>
        <w:pStyle w:val="Paragrafoelenco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3F0250">
        <w:rPr>
          <w:rFonts w:cs="Times New Roman"/>
          <w:color w:val="000000"/>
          <w:sz w:val="24"/>
          <w:szCs w:val="24"/>
        </w:rPr>
        <w:t xml:space="preserve">meno di una maggioranza ponderale semplice di molecole dello stesso peso   molecolare. </w:t>
      </w:r>
    </w:p>
    <w:p w:rsidR="007D42D5" w:rsidRDefault="007D42D5" w:rsidP="007D42D5">
      <w:pPr>
        <w:pStyle w:val="Paragrafoelenco"/>
        <w:tabs>
          <w:tab w:val="left" w:pos="1276"/>
        </w:tabs>
        <w:autoSpaceDE w:val="0"/>
        <w:autoSpaceDN w:val="0"/>
        <w:adjustRightInd w:val="0"/>
        <w:spacing w:after="20"/>
        <w:ind w:left="851"/>
        <w:jc w:val="both"/>
        <w:rPr>
          <w:rFonts w:cs="Times New Roman"/>
          <w:color w:val="000000"/>
          <w:sz w:val="24"/>
          <w:szCs w:val="24"/>
        </w:rPr>
      </w:pPr>
      <w:r w:rsidRPr="00371781">
        <w:rPr>
          <w:rFonts w:cs="Times New Roman"/>
          <w:color w:val="000000"/>
          <w:sz w:val="24"/>
          <w:szCs w:val="24"/>
        </w:rPr>
        <w:t>Nel contesto di questa definizione, per «unità monomerica» s'intende la forma sottoposta a reazione di un monomero in un polimero;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monomero: </w:t>
      </w:r>
      <w:r w:rsidRPr="00C84F3C">
        <w:rPr>
          <w:rFonts w:cs="Times New Roman"/>
          <w:color w:val="000000"/>
          <w:sz w:val="24"/>
          <w:szCs w:val="24"/>
        </w:rPr>
        <w:t>una sostanza in grado di formare legami covalenti con una sequenza di molecole aggiuntive, uguali o diverse, nelle condizioni della pertinente reazione di formazione del polimero utilizzata per quel particolare processo;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dichiarante: </w:t>
      </w:r>
      <w:r w:rsidRPr="00C84F3C">
        <w:rPr>
          <w:rFonts w:cs="Times New Roman"/>
          <w:color w:val="000000"/>
          <w:sz w:val="24"/>
          <w:szCs w:val="24"/>
        </w:rPr>
        <w:t>il fabbricante o l'importatore di una sostanza, o il produttore o l'importatore di un articolo che presenta una registrazione per una sostanza;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fabbricazione: </w:t>
      </w:r>
      <w:r w:rsidRPr="00C84F3C">
        <w:rPr>
          <w:rFonts w:cs="Times New Roman"/>
          <w:color w:val="000000"/>
          <w:sz w:val="24"/>
          <w:szCs w:val="24"/>
        </w:rPr>
        <w:t xml:space="preserve">la produzione o l'estrazione di sostanze allo stato naturale;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fabbricante: </w:t>
      </w:r>
      <w:r w:rsidRPr="00C84F3C">
        <w:rPr>
          <w:rFonts w:cs="Times New Roman"/>
          <w:color w:val="000000"/>
          <w:sz w:val="24"/>
          <w:szCs w:val="24"/>
        </w:rPr>
        <w:t>ogni persona fisica o giuridica stabilita nella Comunità che fabbrica una sostanza all'interno della Comunità;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importazione: </w:t>
      </w:r>
      <w:r w:rsidRPr="00C84F3C">
        <w:rPr>
          <w:rFonts w:cs="Times New Roman"/>
          <w:color w:val="000000"/>
          <w:sz w:val="24"/>
          <w:szCs w:val="24"/>
        </w:rPr>
        <w:t xml:space="preserve">l'introduzione fisica nel territorio doganale della Comunità;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importatore: </w:t>
      </w:r>
      <w:r w:rsidRPr="00C84F3C">
        <w:rPr>
          <w:rFonts w:cs="Times New Roman"/>
          <w:color w:val="000000"/>
          <w:sz w:val="24"/>
          <w:szCs w:val="24"/>
        </w:rPr>
        <w:t>ogni persona fisica o giuridica stabilita nella Comunità responsabile dell'importazione;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bCs/>
          <w:color w:val="000000"/>
          <w:sz w:val="24"/>
          <w:szCs w:val="24"/>
        </w:rPr>
        <w:t xml:space="preserve">immissione sul mercato: </w:t>
      </w:r>
      <w:r w:rsidRPr="00C84F3C">
        <w:rPr>
          <w:rFonts w:cs="Times New Roman"/>
          <w:color w:val="000000"/>
          <w:sz w:val="24"/>
          <w:szCs w:val="24"/>
        </w:rPr>
        <w:t>l'offerta o la messa a disposizione di terzi, contro pagamento o gratuita. L'importazione è considerata un'immissione sul mercato;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utilizzatore a valle:</w:t>
      </w:r>
      <w:r w:rsidRPr="00C84F3C">
        <w:rPr>
          <w:rFonts w:cs="Times New Roman"/>
          <w:color w:val="000000"/>
          <w:sz w:val="24"/>
          <w:szCs w:val="24"/>
        </w:rPr>
        <w:t xml:space="preserve"> ogni persona fisica o giuridica stabilita nella Comunità diversa dal fabbricante o dall'importatore che utilizza una sostanza, in quanto tale o in quanto componente di una miscela, nell'esercizio delle sue attività industriali o professionali. I </w:t>
      </w:r>
      <w:r w:rsidRPr="00C84F3C">
        <w:rPr>
          <w:rFonts w:cs="Times New Roman"/>
          <w:color w:val="000000"/>
          <w:sz w:val="24"/>
          <w:szCs w:val="24"/>
        </w:rPr>
        <w:lastRenderedPageBreak/>
        <w:t xml:space="preserve">distributori e i consumatori non sono considerati utilizzatori a valle. Un </w:t>
      </w:r>
      <w:proofErr w:type="spellStart"/>
      <w:r w:rsidRPr="00C84F3C">
        <w:rPr>
          <w:rFonts w:cs="Times New Roman"/>
          <w:color w:val="000000"/>
          <w:sz w:val="24"/>
          <w:szCs w:val="24"/>
        </w:rPr>
        <w:t>reimportatore</w:t>
      </w:r>
      <w:proofErr w:type="spellEnd"/>
      <w:r w:rsidRPr="00C84F3C">
        <w:rPr>
          <w:rFonts w:cs="Times New Roman"/>
          <w:color w:val="000000"/>
          <w:sz w:val="24"/>
          <w:szCs w:val="24"/>
        </w:rPr>
        <w:t xml:space="preserve"> a cui si applica l'esenzione di cui all'articolo 2, paragrafo 7, lettera c), è considerato un utilizzatore a valle;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distributore</w:t>
      </w:r>
      <w:bookmarkStart w:id="0" w:name="_GoBack"/>
      <w:bookmarkEnd w:id="0"/>
      <w:r w:rsidRPr="00C84F3C">
        <w:rPr>
          <w:rFonts w:cs="Times New Roman"/>
          <w:color w:val="000000"/>
          <w:sz w:val="24"/>
          <w:szCs w:val="24"/>
        </w:rPr>
        <w:t>: ogni persona fisica o giuridica stabilita nella Comunità, compreso il rivenditore al dettaglio, che si limita ad immagazzinare e a immettere sul mercato una sostanza, in quanto tale o in quanto componente di una miscela, ai fini della sua vendita a terzi;</w:t>
      </w:r>
    </w:p>
    <w:p w:rsidR="007D42D5" w:rsidRPr="00C84F3C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2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sostanza intermedia:</w:t>
      </w:r>
      <w:r w:rsidRPr="00C84F3C">
        <w:rPr>
          <w:rFonts w:cs="Times New Roman"/>
          <w:color w:val="000000"/>
          <w:sz w:val="24"/>
          <w:szCs w:val="24"/>
        </w:rPr>
        <w:t xml:space="preserve"> una sostanza fabbricata, consumata o utilizzata per essere trasformata, mediante un processo chimico, in un'altra sostanza (in seguito denominata «sintesi»):</w:t>
      </w:r>
    </w:p>
    <w:p w:rsidR="007D42D5" w:rsidRDefault="007D42D5" w:rsidP="007D42D5">
      <w:pPr>
        <w:pStyle w:val="Paragrafoelenco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EC0730">
        <w:rPr>
          <w:rFonts w:cs="Times New Roman"/>
          <w:b/>
          <w:color w:val="000000"/>
          <w:sz w:val="24"/>
          <w:szCs w:val="24"/>
        </w:rPr>
        <w:t>sostanza intermedia non isolata:</w:t>
      </w:r>
      <w:r w:rsidRPr="00263E89">
        <w:rPr>
          <w:rFonts w:cs="Times New Roman"/>
          <w:color w:val="000000"/>
          <w:sz w:val="24"/>
          <w:szCs w:val="24"/>
        </w:rPr>
        <w:t xml:space="preserve"> una sostanza intermedia che durante la sintesi non è intenzionalmente rimossa (tranne che per il prelievo di campioni) dalle apparecchiature in cui la sintesi ha luogo. Tali apparecchiature comprendono il recipiente di reazione con i suoi accessori e le apparecchiature attraverso cui la o le sostanze passano durante un processo a flusso continuo o a lotti, nonché le tubazioni mediante cui la o le sostanze sono trasferite da un recipiente ad un altro in cui si produce la fase successiva della reazione; non comprendono invece il serbatoio o altri recipienti in cui la o le sostanze sono conservate dopo essere state fabbricate;</w:t>
      </w:r>
    </w:p>
    <w:p w:rsidR="007D42D5" w:rsidRDefault="007D42D5" w:rsidP="007D42D5">
      <w:pPr>
        <w:pStyle w:val="Paragrafoelenco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697D46">
        <w:rPr>
          <w:rFonts w:cs="Times New Roman"/>
          <w:b/>
          <w:color w:val="000000"/>
          <w:sz w:val="24"/>
          <w:szCs w:val="24"/>
        </w:rPr>
        <w:t>sostanza intermedia isolata in sito:</w:t>
      </w:r>
      <w:r w:rsidRPr="00697D46">
        <w:rPr>
          <w:rFonts w:cs="Times New Roman"/>
          <w:color w:val="000000"/>
          <w:sz w:val="24"/>
          <w:szCs w:val="24"/>
        </w:rPr>
        <w:t xml:space="preserve"> una sostanza intermedia che non presenta le caratteristiche che definiscono una sostanza intermedia non isolata e nel caso in cui la fabbricazione della sostanza intermedia e la sintesi di una o più altre sostanze derivate da essa avvengono nello stesso </w:t>
      </w:r>
      <w:proofErr w:type="spellStart"/>
      <w:r w:rsidRPr="00697D46">
        <w:rPr>
          <w:rFonts w:cs="Times New Roman"/>
          <w:color w:val="000000"/>
          <w:sz w:val="24"/>
          <w:szCs w:val="24"/>
        </w:rPr>
        <w:t>sito,gestito</w:t>
      </w:r>
      <w:proofErr w:type="spellEnd"/>
      <w:r w:rsidRPr="00697D46">
        <w:rPr>
          <w:rFonts w:cs="Times New Roman"/>
          <w:color w:val="000000"/>
          <w:sz w:val="24"/>
          <w:szCs w:val="24"/>
        </w:rPr>
        <w:t xml:space="preserve"> da una o più persone giuridiche; </w:t>
      </w:r>
    </w:p>
    <w:p w:rsidR="007D42D5" w:rsidRPr="00697D46" w:rsidRDefault="007D42D5" w:rsidP="007D42D5">
      <w:pPr>
        <w:pStyle w:val="Paragrafoelenco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697D46">
        <w:rPr>
          <w:rFonts w:cs="Times New Roman"/>
          <w:b/>
          <w:color w:val="000000"/>
          <w:sz w:val="24"/>
          <w:szCs w:val="24"/>
        </w:rPr>
        <w:t>sostanza intermedia isolata trasportata:</w:t>
      </w:r>
      <w:r w:rsidRPr="00697D46">
        <w:rPr>
          <w:rFonts w:cs="Times New Roman"/>
          <w:color w:val="000000"/>
          <w:sz w:val="24"/>
          <w:szCs w:val="24"/>
        </w:rPr>
        <w:t xml:space="preserve"> una sostanza intermedia che non presenta le caratteristiche che definiscono una sostanza intermedia non isolata e che è trasportata tra altri siti o fornita ad altri siti; vendita a terzi;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EC0730">
        <w:rPr>
          <w:rFonts w:cs="Times New Roman"/>
          <w:b/>
          <w:color w:val="000000"/>
          <w:sz w:val="24"/>
          <w:szCs w:val="24"/>
        </w:rPr>
        <w:t>sito:</w:t>
      </w:r>
      <w:r w:rsidRPr="00EC0730">
        <w:rPr>
          <w:rFonts w:cs="Times New Roman"/>
          <w:color w:val="000000"/>
          <w:sz w:val="24"/>
          <w:szCs w:val="24"/>
        </w:rPr>
        <w:t xml:space="preserve"> un luogo unico in cui, qualora vi siano più fabbricanti di una o più sostanze, talune infrastrutture e attrezzature sono comuni;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attori della catena d'approvvigionamento:</w:t>
      </w:r>
      <w:r w:rsidRPr="00C84F3C">
        <w:rPr>
          <w:rFonts w:cs="Times New Roman"/>
          <w:color w:val="000000"/>
          <w:sz w:val="24"/>
          <w:szCs w:val="24"/>
        </w:rPr>
        <w:t xml:space="preserve"> tutti i fabbricanti e/o importatori e/o utilizzatori a valle in una catena d'approvvigionamento;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Agenzia:</w:t>
      </w:r>
      <w:r w:rsidRPr="00C84F3C">
        <w:rPr>
          <w:rFonts w:cs="Times New Roman"/>
          <w:color w:val="000000"/>
          <w:sz w:val="24"/>
          <w:szCs w:val="24"/>
        </w:rPr>
        <w:t xml:space="preserve"> l'Agenzia europea per le sostanze chimiche quale istituita dal regolamento REACH;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autorità competente:</w:t>
      </w:r>
      <w:r w:rsidRPr="00C84F3C">
        <w:rPr>
          <w:rFonts w:cs="Times New Roman"/>
          <w:color w:val="000000"/>
          <w:sz w:val="24"/>
          <w:szCs w:val="24"/>
        </w:rPr>
        <w:t xml:space="preserve"> la o le autorità o gli organismi istituiti dagli Stati membri per adempiere agli obblighi risultanti dall'applicazione del regolamento REACH; </w:t>
      </w:r>
    </w:p>
    <w:p w:rsidR="007D42D5" w:rsidRPr="00C84F3C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sostanza soggetta a un regime transitorio:</w:t>
      </w:r>
      <w:r w:rsidRPr="00C84F3C">
        <w:rPr>
          <w:rFonts w:cs="Times New Roman"/>
          <w:color w:val="000000"/>
          <w:sz w:val="24"/>
          <w:szCs w:val="24"/>
        </w:rPr>
        <w:t xml:space="preserve"> una sostanza che soddisfa almeno una delle seguenti condizioni: </w:t>
      </w:r>
    </w:p>
    <w:p w:rsidR="007D42D5" w:rsidRDefault="007D42D5" w:rsidP="007D42D5">
      <w:pPr>
        <w:pStyle w:val="Paragrafoelenco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EC0730">
        <w:rPr>
          <w:rFonts w:cs="Times New Roman"/>
          <w:color w:val="000000"/>
          <w:sz w:val="24"/>
          <w:szCs w:val="24"/>
        </w:rPr>
        <w:t>è compresa nell'inventario europeo delle sostanze chimiche esistenti a carattere com</w:t>
      </w:r>
      <w:r>
        <w:rPr>
          <w:rFonts w:cs="Times New Roman"/>
          <w:color w:val="000000"/>
          <w:sz w:val="24"/>
          <w:szCs w:val="24"/>
        </w:rPr>
        <w:t>merciale (EINECS);</w:t>
      </w:r>
    </w:p>
    <w:p w:rsidR="007D42D5" w:rsidRDefault="007D42D5" w:rsidP="007D42D5">
      <w:pPr>
        <w:pStyle w:val="Paragrafoelenco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697D46">
        <w:rPr>
          <w:rFonts w:cs="Times New Roman"/>
          <w:color w:val="000000"/>
          <w:sz w:val="24"/>
          <w:szCs w:val="24"/>
        </w:rPr>
        <w:t xml:space="preserve">è stata fabbricata nella Comunità o nei paesi che hanno aderito all’Unione europea il 1° gennaio 1995, il 1° maggio 2004 o il 1° gennaio 2007, ma non immessa sul mercato dal fabbricante o dall’importatore, almeno una volta nei quindici anni precedenti l’entrata in vigore del regolamento, REACH a condizione che ne sia fornita la prova documentale; </w:t>
      </w:r>
    </w:p>
    <w:p w:rsidR="007D42D5" w:rsidRPr="00697D46" w:rsidRDefault="007D42D5" w:rsidP="007D42D5">
      <w:pPr>
        <w:pStyle w:val="Paragrafoelenco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284"/>
        <w:jc w:val="both"/>
        <w:rPr>
          <w:rFonts w:cs="Times New Roman"/>
          <w:color w:val="000000"/>
          <w:sz w:val="24"/>
          <w:szCs w:val="24"/>
        </w:rPr>
      </w:pPr>
      <w:r w:rsidRPr="00697D46">
        <w:rPr>
          <w:rFonts w:cs="Times New Roman"/>
          <w:color w:val="000000"/>
          <w:sz w:val="24"/>
          <w:szCs w:val="24"/>
        </w:rPr>
        <w:lastRenderedPageBreak/>
        <w:t xml:space="preserve">è stata immessa sul mercato nella Comunità, o nei paesi che hanno aderito all’Unione europea il 1° gennaio 1995, il 1° maggio 2004 o il 1° gennaio 2007, dal fabbricante o dall’importatore prima dell’entrata in vigore del regolamento REACH ed è stata considerata notificata a norma dell’articolo 8, paragrafo 1, primo trattino, della direttiva 67/548/CEE, nella versione dell’articolo 8, paragrafo 1, risultante dalla modifica apportata dalla direttiva 79/831/CEE, ma non corrisponde alla definizione di polimero contenuta nel regolamento REACH, a condizione che il fabbricante o l’importatore disponga di una prova documentale di ciò, compresa una prova attestante che la sostanza è stata immessa sul mercato da qualsiasi fabbricante o importatore tra il 18 settembre 1981 e il 31 ottobre 1993 incluso;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EC0730">
        <w:rPr>
          <w:rFonts w:cs="Times New Roman"/>
          <w:b/>
          <w:color w:val="000000"/>
          <w:sz w:val="24"/>
          <w:szCs w:val="24"/>
        </w:rPr>
        <w:t>sostanza notificata:</w:t>
      </w:r>
      <w:r w:rsidRPr="00EC0730">
        <w:rPr>
          <w:rFonts w:cs="Times New Roman"/>
          <w:color w:val="000000"/>
          <w:sz w:val="24"/>
          <w:szCs w:val="24"/>
        </w:rPr>
        <w:t xml:space="preserve"> una sostanza per la quale è stata presentata una notifica e che potrebbe essere immessa sul mercato a norma della direttiva 67/548/CEE;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attività di ricerca e sviluppo orientata ai prodotti e ai processi:</w:t>
      </w:r>
      <w:r w:rsidRPr="00C84F3C">
        <w:rPr>
          <w:rFonts w:cs="Times New Roman"/>
          <w:color w:val="000000"/>
          <w:sz w:val="24"/>
          <w:szCs w:val="24"/>
        </w:rPr>
        <w:t xml:space="preserve"> qualsiasi attività scientifica connessa allo sviluppo di un prodotto o all'ulteriore sviluppo di una sostanza in quanto tale o in quanto componente di miscele o articoli, nel corso della quale si utilizzano impianti pilota o produzioni sperimentali per mettere a punto il processo di produzione e/o sperimentare i campi d'applicazione della sostanza;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ricerca e sviluppo scientifici:</w:t>
      </w:r>
      <w:r w:rsidRPr="00C84F3C">
        <w:rPr>
          <w:rFonts w:cs="Times New Roman"/>
          <w:color w:val="000000"/>
          <w:sz w:val="24"/>
          <w:szCs w:val="24"/>
        </w:rPr>
        <w:t xml:space="preserve"> qualsiasi sperimentazione scientifica, analisi o ricerca chimica eseguita in condizioni controllate su quantitativi inferiori a 1 tonnellata all'anno;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uso:</w:t>
      </w:r>
      <w:r w:rsidRPr="00C84F3C">
        <w:rPr>
          <w:rFonts w:cs="Times New Roman"/>
          <w:color w:val="000000"/>
          <w:sz w:val="24"/>
          <w:szCs w:val="24"/>
        </w:rPr>
        <w:t xml:space="preserve"> ogni operazione di trasformazione, formulazione, consumo, immagazzinamento, conservazione, trattamento, riempimento di contenitori, trasferimento da un contenitore ad un altro, miscelazione, produzione di un articolo o ogni altra utilizzazione;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uso proprio del dichiarante:</w:t>
      </w:r>
      <w:r w:rsidRPr="00C84F3C">
        <w:rPr>
          <w:rFonts w:cs="Times New Roman"/>
          <w:color w:val="000000"/>
          <w:sz w:val="24"/>
          <w:szCs w:val="24"/>
        </w:rPr>
        <w:t xml:space="preserve"> un uso industriale o professionale da parte del dichiarante;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uso identificato:</w:t>
      </w:r>
      <w:r w:rsidRPr="00C84F3C">
        <w:rPr>
          <w:rFonts w:cs="Times New Roman"/>
          <w:color w:val="000000"/>
          <w:sz w:val="24"/>
          <w:szCs w:val="24"/>
        </w:rPr>
        <w:t xml:space="preserve"> l'uso di una sostanza, in quanto tale o in quanto componente di una miscela, o l'uso di una miscela, previsto da un attore della catena d'approvvigionamento, compreso l'uso proprio, o che gli è notificato per iscritto da un utilizzatore immediatamente a valle;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rapporto completo di studio:</w:t>
      </w:r>
      <w:r w:rsidRPr="00C84F3C">
        <w:rPr>
          <w:rFonts w:cs="Times New Roman"/>
          <w:color w:val="000000"/>
          <w:sz w:val="24"/>
          <w:szCs w:val="24"/>
        </w:rPr>
        <w:t xml:space="preserve"> una descrizione esauriente e generale delle attività svolte per generare le informazioni. Esso comprende l'articolo scientifico completo apparso nelle pertinenti pubblicazioni con la descrizione dello studio effettuato o il rapporto completo elaborato dall'organismo verificatore con la descrizione dello studio effettuato;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sommario esauriente di studio:</w:t>
      </w:r>
      <w:r w:rsidRPr="00C84F3C">
        <w:rPr>
          <w:rFonts w:cs="Times New Roman"/>
          <w:color w:val="000000"/>
          <w:sz w:val="24"/>
          <w:szCs w:val="24"/>
        </w:rPr>
        <w:t xml:space="preserve"> una sintesi dettagliata degli obiettivi, dei metodi, dei risultati e delle conclusioni di un rapporto completo di studio, che fornisca informazioni sufficienti a consentire una valutazione indipendente dello studio stesso, in modo da ridurre al minimo la necessità di consultare il rapporto completo di studio;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sommario di studio:</w:t>
      </w:r>
      <w:r w:rsidRPr="00C84F3C">
        <w:rPr>
          <w:rFonts w:cs="Times New Roman"/>
          <w:color w:val="000000"/>
          <w:sz w:val="24"/>
          <w:szCs w:val="24"/>
        </w:rPr>
        <w:t xml:space="preserve"> una sintesi degli obiettivi, dei metodi, dei risultati e delle conclusioni di un rapporto completo di studio, che fornisca informazioni sufficienti per valutare la pertinenza dello studio stesso;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all'anno:</w:t>
      </w:r>
      <w:r w:rsidRPr="00C84F3C">
        <w:rPr>
          <w:rFonts w:cs="Times New Roman"/>
          <w:color w:val="000000"/>
          <w:sz w:val="24"/>
          <w:szCs w:val="24"/>
        </w:rPr>
        <w:t xml:space="preserve"> per anno solare, salvo diversa indicazione. Per le sostanze soggette a un regime transitorio che sono state importate o fabbricate per almeno tre anni consecutivi, i quantitativi annuali si calcolano sulla base dei volumi medi di produzione o di importazione dei tre anni solari precedenti;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lastRenderedPageBreak/>
        <w:t>restrizione:</w:t>
      </w:r>
      <w:r w:rsidRPr="00C84F3C">
        <w:rPr>
          <w:rFonts w:cs="Times New Roman"/>
          <w:color w:val="000000"/>
          <w:sz w:val="24"/>
          <w:szCs w:val="24"/>
        </w:rPr>
        <w:t xml:space="preserve"> qualsiasi condizione o divieto riguardante la fabbricazione, l'uso o l'immissione sul mercato;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fornitore di una sostanza o di una miscela:</w:t>
      </w:r>
      <w:r w:rsidRPr="00C84F3C">
        <w:rPr>
          <w:rFonts w:cs="Times New Roman"/>
          <w:color w:val="000000"/>
          <w:sz w:val="24"/>
          <w:szCs w:val="24"/>
        </w:rPr>
        <w:t xml:space="preserve"> ogni fabbricante, importatore, utilizzatore a valle o distributore che immette sul mercato una sostanza, in quanto tale o in quanto componente di una miscela, o una miscela;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fornitore di un articolo:</w:t>
      </w:r>
      <w:r w:rsidRPr="00C84F3C">
        <w:rPr>
          <w:rFonts w:cs="Times New Roman"/>
          <w:color w:val="000000"/>
          <w:sz w:val="24"/>
          <w:szCs w:val="24"/>
        </w:rPr>
        <w:t xml:space="preserve"> ogni produttore o importatore di un articolo, che immette un articolo sul mercato;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destinatario di una sostanza o di una miscela:</w:t>
      </w:r>
      <w:r w:rsidRPr="00C84F3C">
        <w:rPr>
          <w:rFonts w:cs="Times New Roman"/>
          <w:color w:val="000000"/>
          <w:sz w:val="24"/>
          <w:szCs w:val="24"/>
        </w:rPr>
        <w:t xml:space="preserve"> un utilizzatore a valle o un distributore a cui viene fornita una sostanza o una miscela;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destinatario di un articolo:</w:t>
      </w:r>
      <w:r w:rsidRPr="00C84F3C">
        <w:rPr>
          <w:rFonts w:cs="Times New Roman"/>
          <w:color w:val="000000"/>
          <w:sz w:val="24"/>
          <w:szCs w:val="24"/>
        </w:rPr>
        <w:t xml:space="preserve"> un utilizzatore industriale o professionale o un distributore cui viene fornito un articolo, esclusi i consumatori;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PMI:</w:t>
      </w:r>
      <w:r w:rsidRPr="00C84F3C">
        <w:rPr>
          <w:rFonts w:cs="Times New Roman"/>
          <w:color w:val="000000"/>
          <w:sz w:val="24"/>
          <w:szCs w:val="24"/>
        </w:rPr>
        <w:t xml:space="preserve"> piccole e medie imprese quali definite nella raccomandazione della Commissione, del 6 maggio 2003, relativa alla definizione delle microimprese e delle piccole e medie imprese (GU L 124 del 20.5.2003, pag. 36);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scenario d'esposizione:</w:t>
      </w:r>
      <w:r w:rsidRPr="00C84F3C">
        <w:rPr>
          <w:rFonts w:cs="Times New Roman"/>
          <w:color w:val="000000"/>
          <w:sz w:val="24"/>
          <w:szCs w:val="24"/>
        </w:rPr>
        <w:t xml:space="preserve"> l'insieme delle condizioni, comprese le condizioni operative e le misure di gestione dei rischi, che descrivono il modo in cui la sostanza è fabbricata o utilizzata durante il suo ciclo di vita e il modo in cui il fabbricante o l'importatore controlla o raccomanda agli utilizzatori a valle di controllare l'esposizione delle persone e dell'ambiente. Questi scenari d'esposizione possono coprire un processo o un uso specifico o più processi o usi specifici, se del caso;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categoria d'uso e d'esposizione:</w:t>
      </w:r>
      <w:r w:rsidRPr="00C84F3C">
        <w:rPr>
          <w:rFonts w:cs="Times New Roman"/>
          <w:color w:val="000000"/>
          <w:sz w:val="24"/>
          <w:szCs w:val="24"/>
        </w:rPr>
        <w:t xml:space="preserve"> uno scenario d'esposizione che copre una vasta gamma di processi o usi, in cui i processi o gli usi sono comunicati quanto meno in termini di breve descrizione generale dell'uso;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sostanza presente in natura:</w:t>
      </w:r>
      <w:r w:rsidRPr="00C84F3C">
        <w:rPr>
          <w:rFonts w:cs="Times New Roman"/>
          <w:color w:val="000000"/>
          <w:sz w:val="24"/>
          <w:szCs w:val="24"/>
        </w:rPr>
        <w:t xml:space="preserve"> una sostanza presente in natura in quanto tale, non lavorata o lavorata esclusivamente con mezzi manuali, meccanici o gravitazionali, per dissoluzione in acqua, per flottazione, per estrazione con acqua, per distillazione a vapore o per riscaldamento unicamente per eliminare l'acqua, o estratta dall'aria con qualsiasi mezzo; </w:t>
      </w:r>
    </w:p>
    <w:p w:rsidR="007D42D5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sostanza non modificata chimicamente:</w:t>
      </w:r>
      <w:r w:rsidRPr="00C84F3C">
        <w:rPr>
          <w:rFonts w:cs="Times New Roman"/>
          <w:color w:val="000000"/>
          <w:sz w:val="24"/>
          <w:szCs w:val="24"/>
        </w:rPr>
        <w:t xml:space="preserve"> una sostanza la cui struttura chimica rimane immutata, anche se è stata soggetta ad un processo o trattamento chimico o trasformazione mineralogica fisica, ad esempio al fine di rimuovere le </w:t>
      </w:r>
      <w:proofErr w:type="spellStart"/>
      <w:r w:rsidRPr="00C84F3C">
        <w:rPr>
          <w:rFonts w:cs="Times New Roman"/>
          <w:color w:val="000000"/>
          <w:sz w:val="24"/>
          <w:szCs w:val="24"/>
        </w:rPr>
        <w:t>impurezze</w:t>
      </w:r>
      <w:proofErr w:type="spellEnd"/>
      <w:r w:rsidRPr="00C84F3C">
        <w:rPr>
          <w:rFonts w:cs="Times New Roman"/>
          <w:color w:val="000000"/>
          <w:sz w:val="24"/>
          <w:szCs w:val="24"/>
        </w:rPr>
        <w:t xml:space="preserve">; </w:t>
      </w:r>
    </w:p>
    <w:p w:rsidR="007D42D5" w:rsidRPr="00C84F3C" w:rsidRDefault="007D42D5" w:rsidP="007D42D5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C84F3C">
        <w:rPr>
          <w:rFonts w:cs="Times New Roman"/>
          <w:b/>
          <w:color w:val="000000"/>
          <w:sz w:val="24"/>
          <w:szCs w:val="24"/>
        </w:rPr>
        <w:t>lega:</w:t>
      </w:r>
      <w:r w:rsidRPr="00C84F3C">
        <w:rPr>
          <w:rFonts w:cs="Times New Roman"/>
          <w:color w:val="000000"/>
          <w:sz w:val="24"/>
          <w:szCs w:val="24"/>
        </w:rPr>
        <w:t xml:space="preserve"> un materiale metallico, omogeneo su scala macroscopica, composto da due o più elementi combinati in modo tale da non poter essere facilmente separati con processi meccanici. </w:t>
      </w:r>
    </w:p>
    <w:p w:rsidR="000D737B" w:rsidRDefault="000D737B"/>
    <w:sectPr w:rsidR="000D7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8EC"/>
    <w:multiLevelType w:val="hybridMultilevel"/>
    <w:tmpl w:val="DB028922"/>
    <w:lvl w:ilvl="0" w:tplc="59DE07B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52E40"/>
    <w:multiLevelType w:val="hybridMultilevel"/>
    <w:tmpl w:val="58F4103A"/>
    <w:lvl w:ilvl="0" w:tplc="5A2CD58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80063"/>
    <w:multiLevelType w:val="hybridMultilevel"/>
    <w:tmpl w:val="63E83ED2"/>
    <w:lvl w:ilvl="0" w:tplc="4A54CF8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1C278F"/>
    <w:multiLevelType w:val="hybridMultilevel"/>
    <w:tmpl w:val="FB72E368"/>
    <w:lvl w:ilvl="0" w:tplc="C4300DF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D5"/>
    <w:rsid w:val="000D737B"/>
    <w:rsid w:val="007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9886</Characters>
  <Application>Microsoft Office Word</Application>
  <DocSecurity>0</DocSecurity>
  <Lines>82</Lines>
  <Paragraphs>23</Paragraphs>
  <ScaleCrop>false</ScaleCrop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2014-12-17T12:11:00Z</dcterms:created>
  <dcterms:modified xsi:type="dcterms:W3CDTF">2014-12-17T12:12:00Z</dcterms:modified>
</cp:coreProperties>
</file>